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F2B0" w14:textId="77777777" w:rsidR="00F26705" w:rsidRDefault="00F26705" w:rsidP="0048682D">
      <w:pPr>
        <w:spacing w:after="0" w:line="240" w:lineRule="auto"/>
        <w:jc w:val="both"/>
        <w:rPr>
          <w:rFonts w:ascii="Arial" w:eastAsia="Calibri" w:hAnsi="Arial" w:cs="Arial"/>
          <w:b/>
          <w:bCs/>
          <w:sz w:val="11"/>
          <w:szCs w:val="11"/>
        </w:rPr>
      </w:pPr>
    </w:p>
    <w:p w14:paraId="54AE0124" w14:textId="78822CC8" w:rsidR="00EC6382" w:rsidRPr="00450E10" w:rsidRDefault="00EC6382" w:rsidP="0048682D">
      <w:pPr>
        <w:spacing w:after="0" w:line="240" w:lineRule="auto"/>
        <w:jc w:val="both"/>
        <w:rPr>
          <w:rFonts w:ascii="Arial" w:eastAsia="Calibri" w:hAnsi="Arial" w:cs="Arial"/>
          <w:bCs/>
          <w:sz w:val="11"/>
          <w:szCs w:val="11"/>
        </w:rPr>
      </w:pPr>
      <w:r w:rsidRPr="00450E10">
        <w:rPr>
          <w:rFonts w:ascii="Arial" w:eastAsia="Calibri" w:hAnsi="Arial" w:cs="Arial"/>
          <w:b/>
          <w:bCs/>
          <w:sz w:val="11"/>
          <w:szCs w:val="11"/>
        </w:rPr>
        <w:t xml:space="preserve">Торговое название препарата: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</w:p>
    <w:p w14:paraId="326EA309" w14:textId="77777777" w:rsidR="00EC6382" w:rsidRPr="00450E10" w:rsidRDefault="00EC6382" w:rsidP="0048682D">
      <w:pPr>
        <w:spacing w:after="0" w:line="240" w:lineRule="auto"/>
        <w:rPr>
          <w:rFonts w:ascii="Arial" w:eastAsia="Times New Roman" w:hAnsi="Arial" w:cs="Arial"/>
          <w:b/>
          <w:sz w:val="11"/>
          <w:szCs w:val="11"/>
          <w:lang w:eastAsia="ru-RU"/>
        </w:rPr>
      </w:pPr>
      <w:r w:rsidRPr="00450E10">
        <w:rPr>
          <w:rFonts w:ascii="Arial" w:eastAsia="Calibri" w:hAnsi="Arial" w:cs="Arial"/>
          <w:b/>
          <w:color w:val="000000"/>
          <w:sz w:val="11"/>
          <w:szCs w:val="11"/>
          <w:shd w:val="clear" w:color="auto" w:fill="FFFFFF"/>
        </w:rPr>
        <w:t>Действующее вещество (МНН)</w:t>
      </w:r>
      <w:r w:rsidRPr="00450E10">
        <w:rPr>
          <w:rFonts w:ascii="Arial" w:eastAsia="Calibri" w:hAnsi="Arial" w:cs="Arial"/>
          <w:color w:val="000000"/>
          <w:sz w:val="11"/>
          <w:szCs w:val="11"/>
          <w:shd w:val="clear" w:color="auto" w:fill="FFFFFF"/>
        </w:rPr>
        <w:t>: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фосфокреатин</w:t>
      </w:r>
      <w:proofErr w:type="spellEnd"/>
      <w:r w:rsidRPr="00450E10">
        <w:rPr>
          <w:rFonts w:ascii="Arial" w:eastAsia="Times New Roman" w:hAnsi="Arial" w:cs="Arial"/>
          <w:sz w:val="11"/>
          <w:szCs w:val="11"/>
          <w:lang w:eastAsia="ru-RU"/>
        </w:rPr>
        <w:t xml:space="preserve"> натриевая соль</w:t>
      </w:r>
    </w:p>
    <w:p w14:paraId="59716BC1" w14:textId="77777777" w:rsidR="00EC6382" w:rsidRPr="00450E10" w:rsidRDefault="00EC6382" w:rsidP="0048682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sz w:val="11"/>
          <w:szCs w:val="11"/>
          <w:lang w:eastAsia="ru-RU"/>
        </w:rPr>
        <w:t xml:space="preserve">Лекарственная форма: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порошок для приготовления раствора для инфузий</w:t>
      </w:r>
    </w:p>
    <w:p w14:paraId="6F3FC2FF" w14:textId="77777777" w:rsidR="00EC6382" w:rsidRPr="00450E10" w:rsidRDefault="00EC6382" w:rsidP="0048682D">
      <w:pPr>
        <w:spacing w:after="0" w:line="240" w:lineRule="auto"/>
        <w:rPr>
          <w:rFonts w:ascii="Arial" w:eastAsia="Times New Roman" w:hAnsi="Arial" w:cs="Arial"/>
          <w:b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sz w:val="11"/>
          <w:szCs w:val="11"/>
          <w:lang w:eastAsia="ru-RU"/>
        </w:rPr>
        <w:t>Состав:</w:t>
      </w:r>
    </w:p>
    <w:p w14:paraId="7C28A273" w14:textId="77777777" w:rsidR="00EC6382" w:rsidRPr="00450E10" w:rsidRDefault="00EC6382" w:rsidP="0048682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color w:val="000000"/>
          <w:sz w:val="11"/>
          <w:szCs w:val="11"/>
          <w:lang w:eastAsia="ru-RU"/>
        </w:rPr>
        <w:t>активное вещество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: натриевая соль креатин фосфата - 1000 мг.</w:t>
      </w:r>
    </w:p>
    <w:p w14:paraId="244C903A" w14:textId="77777777" w:rsidR="00542AF9" w:rsidRDefault="00EC6382" w:rsidP="00542AF9">
      <w:pPr>
        <w:spacing w:after="0" w:line="240" w:lineRule="auto"/>
        <w:rPr>
          <w:rFonts w:ascii="Arial" w:eastAsia="Times New Roman" w:hAnsi="Arial" w:cs="Arial"/>
          <w:color w:val="C00000"/>
          <w:sz w:val="10"/>
          <w:szCs w:val="10"/>
          <w:lang w:eastAsia="ru-RU"/>
        </w:rPr>
      </w:pPr>
      <w:r w:rsidRPr="00450E10">
        <w:rPr>
          <w:rFonts w:ascii="Arial" w:eastAsia="Times New Roman" w:hAnsi="Arial" w:cs="Arial"/>
          <w:b/>
          <w:sz w:val="11"/>
          <w:szCs w:val="11"/>
          <w:lang w:eastAsia="ru-RU"/>
        </w:rPr>
        <w:t>Описание:</w:t>
      </w:r>
      <w:r w:rsidRPr="00450E10">
        <w:rPr>
          <w:rFonts w:ascii="Arial" w:eastAsia="Times New Roman" w:hAnsi="Arial" w:cs="Arial"/>
          <w:sz w:val="11"/>
          <w:szCs w:val="11"/>
          <w:lang w:eastAsia="ru-RU"/>
        </w:rPr>
        <w:t xml:space="preserve"> </w:t>
      </w:r>
      <w:r w:rsidR="00542AF9" w:rsidRPr="00542AF9">
        <w:rPr>
          <w:rFonts w:ascii="Arial" w:eastAsia="Times New Roman" w:hAnsi="Arial" w:cs="Arial"/>
          <w:color w:val="C00000"/>
          <w:sz w:val="10"/>
          <w:szCs w:val="10"/>
          <w:lang w:eastAsia="ru-RU"/>
        </w:rPr>
        <w:t>белый или почти белый кристаллический порошок, с возможной агрегацией частиц</w:t>
      </w:r>
    </w:p>
    <w:p w14:paraId="4AF2959F" w14:textId="18794A83" w:rsidR="00EC6382" w:rsidRPr="00450E10" w:rsidRDefault="00EC6382" w:rsidP="00542AF9">
      <w:pPr>
        <w:spacing w:after="0" w:line="240" w:lineRule="auto"/>
        <w:rPr>
          <w:rFonts w:ascii="Arial" w:eastAsia="Times New Roman" w:hAnsi="Arial" w:cs="Arial"/>
          <w:b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sz w:val="11"/>
          <w:szCs w:val="11"/>
          <w:lang w:eastAsia="ru-RU"/>
        </w:rPr>
        <w:t>Фармакотерапевтическая группа</w:t>
      </w:r>
      <w:r w:rsidRPr="00450E10">
        <w:rPr>
          <w:rFonts w:ascii="Arial" w:eastAsia="Times New Roman" w:hAnsi="Arial" w:cs="Arial"/>
          <w:sz w:val="11"/>
          <w:szCs w:val="11"/>
          <w:lang w:eastAsia="ru-RU"/>
        </w:rPr>
        <w:t xml:space="preserve">: </w:t>
      </w:r>
      <w:r w:rsidRPr="00450E10">
        <w:rPr>
          <w:rFonts w:ascii="Arial" w:eastAsia="Calibri" w:hAnsi="Arial" w:cs="Arial"/>
          <w:color w:val="000000"/>
          <w:spacing w:val="2"/>
          <w:sz w:val="11"/>
          <w:szCs w:val="11"/>
          <w:shd w:val="clear" w:color="auto" w:fill="FFFFFF"/>
          <w:lang w:eastAsia="x-none"/>
        </w:rPr>
        <w:t>Прочие препараты для лечения заболеваний сердца.</w:t>
      </w:r>
    </w:p>
    <w:p w14:paraId="5762CAA1" w14:textId="77777777" w:rsidR="00EC6382" w:rsidRPr="00450E10" w:rsidRDefault="00EC6382" w:rsidP="0048682D">
      <w:pPr>
        <w:spacing w:after="0" w:line="240" w:lineRule="auto"/>
        <w:rPr>
          <w:rFonts w:ascii="Arial" w:eastAsia="Calibri" w:hAnsi="Arial" w:cs="Arial"/>
          <w:color w:val="000000"/>
          <w:sz w:val="11"/>
          <w:szCs w:val="11"/>
        </w:rPr>
      </w:pPr>
      <w:r w:rsidRPr="00450E10">
        <w:rPr>
          <w:rFonts w:ascii="Arial" w:eastAsia="Calibri" w:hAnsi="Arial" w:cs="Arial"/>
          <w:b/>
          <w:sz w:val="11"/>
          <w:szCs w:val="11"/>
        </w:rPr>
        <w:t>Код АТХ:</w:t>
      </w:r>
      <w:r w:rsidRPr="00450E10">
        <w:rPr>
          <w:rFonts w:ascii="Arial" w:eastAsia="Calibri" w:hAnsi="Arial" w:cs="Arial"/>
          <w:sz w:val="11"/>
          <w:szCs w:val="11"/>
        </w:rPr>
        <w:t xml:space="preserve"> </w:t>
      </w:r>
      <w:r w:rsidRPr="00450E10">
        <w:rPr>
          <w:rFonts w:ascii="Arial" w:eastAsia="Calibri" w:hAnsi="Arial" w:cs="Arial"/>
          <w:color w:val="000000"/>
          <w:sz w:val="11"/>
          <w:szCs w:val="11"/>
        </w:rPr>
        <w:t>С01ЕВ06</w:t>
      </w:r>
    </w:p>
    <w:p w14:paraId="0404627A" w14:textId="77777777" w:rsidR="00EC6382" w:rsidRPr="00F26705" w:rsidRDefault="00EC6382" w:rsidP="0048682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14:paraId="37428995" w14:textId="77777777" w:rsidR="00EC6382" w:rsidRPr="00450E10" w:rsidRDefault="00EC6382" w:rsidP="0048682D">
      <w:pPr>
        <w:spacing w:after="0" w:line="240" w:lineRule="auto"/>
        <w:ind w:right="-42"/>
        <w:jc w:val="both"/>
        <w:rPr>
          <w:rFonts w:ascii="Arial" w:eastAsia="Calibri" w:hAnsi="Arial" w:cs="Arial"/>
          <w:b/>
          <w:sz w:val="11"/>
          <w:szCs w:val="11"/>
        </w:rPr>
      </w:pPr>
      <w:r w:rsidRPr="00450E10">
        <w:rPr>
          <w:rFonts w:ascii="Arial" w:eastAsia="Calibri" w:hAnsi="Arial" w:cs="Arial"/>
          <w:b/>
          <w:sz w:val="11"/>
          <w:szCs w:val="11"/>
        </w:rPr>
        <w:t>Фармакологические свойства</w:t>
      </w:r>
    </w:p>
    <w:p w14:paraId="6A1259DE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препарат, улучшающий метаболизм миокарда и мышечной ткани. По химической структуре аналогичен макроэргическому эндогенному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фосфокреатину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. Препятствует деструкции сарколеммы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ишемизированных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кардиомиоцитов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миоцитов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, обеспечивает внутриклеточный транспорт энергии. За счет улучшения микроциркуляции препарат уменьшает размер зоны некроза и ишемии. При ишемии и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постишемической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реперфузии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оказывает антиаритмический эффект, что связано с уменьшением эктопической активности желудочков и сохранением физиологической функции клеток волокон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Пуркинье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14:paraId="5D0E7788" w14:textId="77777777" w:rsidR="00EC6382" w:rsidRPr="00450E10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i/>
          <w:color w:val="000000"/>
          <w:sz w:val="11"/>
          <w:szCs w:val="11"/>
          <w:lang w:eastAsia="ru-RU"/>
        </w:rPr>
        <w:t>Фармакокинетика</w:t>
      </w:r>
    </w:p>
    <w:p w14:paraId="0F0C8D1A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>Распределение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При однократной в/в инфузии максимальная концентрация препарата в плазме крови определяется на1-3 мин. Наибольшее количество препарата накапливается преимущественно в скелетных мышцах, миокарде и мозге. В тканях печени и легких накопление препарата незначительное. </w:t>
      </w:r>
    </w:p>
    <w:p w14:paraId="6F8DD91D" w14:textId="3ECF801D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Выведение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- </w:t>
      </w:r>
      <w:r w:rsidR="00542AF9" w:rsidRPr="00542AF9">
        <w:rPr>
          <w:rFonts w:ascii="Arial" w:eastAsia="Times New Roman" w:hAnsi="Arial" w:cs="Arial"/>
          <w:color w:val="C00000"/>
          <w:sz w:val="8"/>
          <w:szCs w:val="8"/>
          <w:lang w:eastAsia="ru-RU"/>
        </w:rPr>
        <w:t>В</w:t>
      </w:r>
      <w:r w:rsidR="00542AF9" w:rsidRPr="00542AF9">
        <w:rPr>
          <w:rFonts w:ascii="Arial" w:eastAsia="Times New Roman" w:hAnsi="Arial" w:cs="Arial"/>
          <w:color w:val="C00000"/>
          <w:sz w:val="10"/>
          <w:szCs w:val="10"/>
          <w:lang w:eastAsia="ru-RU"/>
        </w:rPr>
        <w:t xml:space="preserve">ыведение </w:t>
      </w:r>
      <w:proofErr w:type="spellStart"/>
      <w:r w:rsidR="00542AF9" w:rsidRPr="00542AF9">
        <w:rPr>
          <w:rFonts w:ascii="Arial" w:eastAsia="Times New Roman" w:hAnsi="Arial" w:cs="Arial"/>
          <w:color w:val="C00000"/>
          <w:sz w:val="10"/>
          <w:szCs w:val="10"/>
          <w:lang w:eastAsia="ru-RU"/>
        </w:rPr>
        <w:t>фосфокреатина</w:t>
      </w:r>
      <w:proofErr w:type="spellEnd"/>
      <w:r w:rsidR="00542AF9" w:rsidRPr="00542AF9">
        <w:rPr>
          <w:rFonts w:ascii="Arial" w:eastAsia="Times New Roman" w:hAnsi="Arial" w:cs="Arial"/>
          <w:color w:val="C00000"/>
          <w:sz w:val="10"/>
          <w:szCs w:val="10"/>
          <w:lang w:eastAsia="ru-RU"/>
        </w:rPr>
        <w:t xml:space="preserve"> двухфазное (быстрая и медленная фазы), что обусловлено его накоплением в тканях с последующим выведением из организма во вторую фазу.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Период полувыведения в быстрой фазе составляет 30-35 мин; Период полувыведения в медленной фазе составляет несколько часов. Выводится почками.</w:t>
      </w:r>
    </w:p>
    <w:p w14:paraId="2FCF0FFE" w14:textId="77777777" w:rsidR="00EC6382" w:rsidRPr="00F26705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35A550D3" w14:textId="77777777" w:rsidR="00EC6382" w:rsidRPr="00450E10" w:rsidRDefault="00EC6382" w:rsidP="004868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Показания к применению</w:t>
      </w:r>
    </w:p>
    <w:p w14:paraId="47F1A6B7" w14:textId="77777777" w:rsidR="00450E10" w:rsidRDefault="00EC6382" w:rsidP="00450E10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комплексной терапии:</w:t>
      </w:r>
    </w:p>
    <w:p w14:paraId="3E3239D8" w14:textId="77777777" w:rsidR="00450E10" w:rsidRPr="00450E10" w:rsidRDefault="00EC6382" w:rsidP="00450E10">
      <w:pPr>
        <w:pStyle w:val="a3"/>
        <w:numPr>
          <w:ilvl w:val="0"/>
          <w:numId w:val="4"/>
        </w:numPr>
        <w:spacing w:after="0" w:line="240" w:lineRule="auto"/>
        <w:ind w:left="142" w:hanging="15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острого инфаркта миокарда;</w:t>
      </w:r>
    </w:p>
    <w:p w14:paraId="3A960ED3" w14:textId="77777777" w:rsidR="00450E10" w:rsidRPr="00450E10" w:rsidRDefault="00EC6382" w:rsidP="00450E10">
      <w:pPr>
        <w:pStyle w:val="a3"/>
        <w:numPr>
          <w:ilvl w:val="0"/>
          <w:numId w:val="4"/>
        </w:numPr>
        <w:spacing w:after="0" w:line="240" w:lineRule="auto"/>
        <w:ind w:left="142" w:hanging="15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хронической сердечной недостаточности;</w:t>
      </w:r>
    </w:p>
    <w:p w14:paraId="6E13A25C" w14:textId="77777777" w:rsidR="00450E10" w:rsidRPr="00450E10" w:rsidRDefault="00EC6382" w:rsidP="00450E10">
      <w:pPr>
        <w:pStyle w:val="a3"/>
        <w:numPr>
          <w:ilvl w:val="0"/>
          <w:numId w:val="4"/>
        </w:numPr>
        <w:spacing w:after="0" w:line="240" w:lineRule="auto"/>
        <w:ind w:left="142" w:hanging="15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интраоперационной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ишемии миокарда;</w:t>
      </w:r>
    </w:p>
    <w:p w14:paraId="03B7B946" w14:textId="77777777" w:rsidR="00450E10" w:rsidRPr="00450E10" w:rsidRDefault="00EC6382" w:rsidP="00450E10">
      <w:pPr>
        <w:pStyle w:val="a3"/>
        <w:numPr>
          <w:ilvl w:val="0"/>
          <w:numId w:val="4"/>
        </w:numPr>
        <w:spacing w:after="0" w:line="240" w:lineRule="auto"/>
        <w:ind w:left="142" w:hanging="15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интраоперационной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ишемии конечностей;</w:t>
      </w:r>
    </w:p>
    <w:p w14:paraId="3315ED24" w14:textId="77777777" w:rsidR="00450E10" w:rsidRPr="00450E10" w:rsidRDefault="00EC6382" w:rsidP="00450E10">
      <w:pPr>
        <w:pStyle w:val="a3"/>
        <w:numPr>
          <w:ilvl w:val="0"/>
          <w:numId w:val="4"/>
        </w:numPr>
        <w:spacing w:after="0" w:line="240" w:lineRule="auto"/>
        <w:ind w:left="142" w:hanging="15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острого нарушения мозгового кровообращения;</w:t>
      </w:r>
      <w:bookmarkStart w:id="0" w:name="_GoBack"/>
      <w:bookmarkEnd w:id="0"/>
    </w:p>
    <w:p w14:paraId="65B1FC65" w14:textId="5700C94D" w:rsidR="00EC6382" w:rsidRDefault="00EC6382" w:rsidP="00450E10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спортивной медицине: для профилактики развития синдрома физического перенапряжения и улучшения адаптации к экстремальным физическим нагрузкам.</w:t>
      </w:r>
    </w:p>
    <w:p w14:paraId="54376789" w14:textId="77777777" w:rsidR="00FC5381" w:rsidRPr="00F26705" w:rsidRDefault="00FC5381" w:rsidP="00450E10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19C57A4B" w14:textId="77777777" w:rsidR="00FC5381" w:rsidRPr="00450E10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Способ применения и дозы</w:t>
      </w:r>
    </w:p>
    <w:p w14:paraId="47F1481E" w14:textId="77777777" w:rsidR="00FC5381" w:rsidRPr="00450E10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>При остром инфаркте миокарда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 1-е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препарат вводят 2-4 г в/в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струйно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с последующей капельной инфузией 8-16 г в 200 мл 5% раствора глюкозы в течение 2 ч. Во 2-е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: по 2-4 г в/в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капельно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2 раза/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 При необходимости курс инфузий препарата по 2 г 2 раза/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можно проводить в течение 6 дней. </w:t>
      </w:r>
    </w:p>
    <w:p w14:paraId="0E687B92" w14:textId="77777777" w:rsidR="00FC5381" w:rsidRPr="00450E10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>При хронической сердечной недостаточности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препарат вводят в/в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капельно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 1-2г 2 раза/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 течение 10-14дней.</w:t>
      </w: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 </w:t>
      </w:r>
    </w:p>
    <w:p w14:paraId="59594D41" w14:textId="05387311" w:rsidR="00FC5381" w:rsidRPr="00450E10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При </w:t>
      </w:r>
      <w:proofErr w:type="spellStart"/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>интраоперационной</w:t>
      </w:r>
      <w:proofErr w:type="spellEnd"/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 ишемии миокарда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препарат вводят в составе обычного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кардиоплегического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раствора в количестве 3 г на 1 литр.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добавляют в состав раствора непосредственно перед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lastRenderedPageBreak/>
        <w:t>введением. Рекомендуется проведение курса инфузий препарата по 2 г</w:t>
      </w:r>
      <w:r w:rsidR="00F26705">
        <w:rPr>
          <w:rFonts w:ascii="Arial" w:eastAsia="Times New Roman" w:hAnsi="Arial" w:cs="Arial"/>
          <w:color w:val="000000"/>
          <w:sz w:val="11"/>
          <w:szCs w:val="11"/>
          <w:lang w:val="uz-Cyrl-UZ" w:eastAsia="ru-RU"/>
        </w:rPr>
        <w:t xml:space="preserve">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2 раза/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сут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 течение 3-5 дней, предшествующих хирургическому вмешательству, и в течение 1-2 дней после операции.</w:t>
      </w:r>
    </w:p>
    <w:p w14:paraId="51F59FD0" w14:textId="44364C28" w:rsidR="00FC5381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При возможности развития </w:t>
      </w:r>
      <w:proofErr w:type="spellStart"/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>интраоперационной</w:t>
      </w:r>
      <w:proofErr w:type="spellEnd"/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 ишемии конечностей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рекомендуется в/в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струйно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ввести 2-4 г препарата до операции с последующей инфузией 8-10 г в 5% растворе глюкозы в течение операции и периода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реперфузии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14:paraId="721481EE" w14:textId="77777777" w:rsidR="00FC5381" w:rsidRPr="00F26705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30837438" w14:textId="77777777" w:rsidR="00FC5381" w:rsidRPr="00450E10" w:rsidRDefault="00FC5381" w:rsidP="00FC5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Побочное действие</w:t>
      </w:r>
    </w:p>
    <w:p w14:paraId="3E0E433D" w14:textId="77777777" w:rsidR="00FC5381" w:rsidRPr="00450E10" w:rsidRDefault="00FC5381" w:rsidP="00FC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i/>
          <w:iCs/>
          <w:color w:val="000000"/>
          <w:sz w:val="11"/>
          <w:szCs w:val="11"/>
          <w:lang w:eastAsia="ru-RU"/>
        </w:rPr>
        <w:t xml:space="preserve">Повышенная чувствительность к препарату, артериальная гипотензия (при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быстром в/в введении).</w:t>
      </w:r>
    </w:p>
    <w:p w14:paraId="53EF2E06" w14:textId="77777777" w:rsidR="00FC5381" w:rsidRPr="00F26705" w:rsidRDefault="00FC5381" w:rsidP="00450E10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3048D235" w14:textId="77777777" w:rsidR="00FC5381" w:rsidRDefault="00EC6382" w:rsidP="00FC5381">
      <w:pPr>
        <w:spacing w:after="0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Противопоказания</w:t>
      </w:r>
    </w:p>
    <w:p w14:paraId="62D1818F" w14:textId="77777777" w:rsidR="00FC5381" w:rsidRDefault="00FC5381" w:rsidP="00FC5381">
      <w:pPr>
        <w:spacing w:after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FC5381">
        <w:rPr>
          <w:rFonts w:ascii="Arial" w:eastAsia="Times New Roman" w:hAnsi="Arial" w:cs="Arial"/>
          <w:color w:val="000000"/>
          <w:sz w:val="11"/>
          <w:szCs w:val="11"/>
          <w:lang w:val="uz-Cyrl-UZ" w:eastAsia="ru-RU"/>
        </w:rPr>
        <w:t>П</w:t>
      </w:r>
      <w:proofErr w:type="spellStart"/>
      <w:r w:rsidR="00EC6382" w:rsidRPr="00FC538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овышенная</w:t>
      </w:r>
      <w:proofErr w:type="spellEnd"/>
      <w:r w:rsidR="00EC6382" w:rsidRPr="00FC538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чувствительность к препарату.</w:t>
      </w:r>
    </w:p>
    <w:p w14:paraId="3C2BFDE0" w14:textId="74B51AC9" w:rsidR="00EC6382" w:rsidRPr="00FC5381" w:rsidRDefault="00FC5381" w:rsidP="00FC5381">
      <w:pPr>
        <w:spacing w:after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FC5381">
        <w:rPr>
          <w:rFonts w:ascii="Arial" w:eastAsia="Times New Roman" w:hAnsi="Arial" w:cs="Arial"/>
          <w:color w:val="000000"/>
          <w:sz w:val="11"/>
          <w:szCs w:val="11"/>
          <w:lang w:val="uz-Cyrl-UZ" w:eastAsia="ru-RU"/>
        </w:rPr>
        <w:t>Д</w:t>
      </w:r>
      <w:proofErr w:type="spellStart"/>
      <w:r w:rsidR="00EC6382" w:rsidRPr="00FC538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етский</w:t>
      </w:r>
      <w:proofErr w:type="spellEnd"/>
      <w:r w:rsidR="00EC6382" w:rsidRPr="00FC538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возраст до 18 лет</w:t>
      </w:r>
    </w:p>
    <w:p w14:paraId="7EB7473F" w14:textId="77777777" w:rsidR="00EC6382" w:rsidRPr="00FC5381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1"/>
          <w:szCs w:val="11"/>
          <w:lang w:eastAsia="ru-RU"/>
        </w:rPr>
      </w:pPr>
      <w:r w:rsidRPr="00FC5381">
        <w:rPr>
          <w:rFonts w:ascii="Arial" w:eastAsia="Times New Roman" w:hAnsi="Arial" w:cs="Arial"/>
          <w:b/>
          <w:bCs/>
          <w:i/>
          <w:iCs/>
          <w:color w:val="000000"/>
          <w:sz w:val="11"/>
          <w:szCs w:val="11"/>
          <w:lang w:eastAsia="ru-RU"/>
        </w:rPr>
        <w:t>Беременность и период лактации</w:t>
      </w:r>
    </w:p>
    <w:p w14:paraId="58354A06" w14:textId="1A64448F" w:rsidR="00EC6382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Данных о безопасности и эффективности применения препарата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в период беременности и лактации (грудного вскармливания) не имеется.</w:t>
      </w:r>
    </w:p>
    <w:p w14:paraId="13A6F439" w14:textId="77777777" w:rsidR="00FC5381" w:rsidRPr="00F26705" w:rsidRDefault="00FC5381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0F65B80D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Особые указания</w:t>
      </w:r>
    </w:p>
    <w:p w14:paraId="4C528577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Препарат следует вводить в максимально короткие сроки с момента проявления признаков ишемии, что обеспечивает более благоприятный прогноз заболевания. </w:t>
      </w:r>
    </w:p>
    <w:p w14:paraId="14D70FA8" w14:textId="0CCF0177" w:rsidR="00EC6382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не применяют для экстренной коррекции нарушений деятельности сердца.</w:t>
      </w:r>
    </w:p>
    <w:p w14:paraId="7C77EF5E" w14:textId="77777777" w:rsidR="00FC5381" w:rsidRPr="00F26705" w:rsidRDefault="00FC5381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5F885210" w14:textId="77777777" w:rsidR="00FC5381" w:rsidRPr="00450E10" w:rsidRDefault="00FC5381" w:rsidP="00FC5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Передозировка</w:t>
      </w:r>
    </w:p>
    <w:p w14:paraId="0BC12C59" w14:textId="77777777" w:rsidR="00FC5381" w:rsidRPr="00450E10" w:rsidRDefault="00FC5381" w:rsidP="00FC5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В настоящее время о случаях передозировки препарата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не сообщалось.</w:t>
      </w:r>
    </w:p>
    <w:p w14:paraId="24469A3E" w14:textId="77777777" w:rsidR="00EC6382" w:rsidRPr="00F26705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439809C6" w14:textId="77777777" w:rsidR="00EC6382" w:rsidRPr="00450E10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Взаимодействие с другими лекарственными средствами</w:t>
      </w:r>
    </w:p>
    <w:p w14:paraId="3ABBD52F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При применении в составе комплексной терапии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Неолайтон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-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Zuma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способствует повышению эффективности антиаритмических; </w:t>
      </w:r>
      <w:proofErr w:type="spellStart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антиангинальных</w:t>
      </w:r>
      <w:proofErr w:type="spellEnd"/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препаратов, а также препаратов, оказывающих положительное влияние на инотропную функцию миокарда.</w:t>
      </w:r>
    </w:p>
    <w:p w14:paraId="5910A5A2" w14:textId="77777777" w:rsidR="00EC6382" w:rsidRPr="00F26705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6EAF0CD1" w14:textId="77777777" w:rsidR="00EC6382" w:rsidRPr="00450E10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Форма выпуска</w:t>
      </w:r>
    </w:p>
    <w:p w14:paraId="4C8BAD61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1 г порошка для приготовления раствора для инфузий во флаконе из нейтрального бесцветного стекла;</w:t>
      </w:r>
    </w:p>
    <w:p w14:paraId="25873B08" w14:textId="77777777" w:rsidR="00EC6382" w:rsidRPr="00450E10" w:rsidRDefault="002C6AD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По </w:t>
      </w:r>
      <w:r w:rsidR="00EC6382"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1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флакону</w:t>
      </w:r>
      <w:r w:rsidR="00EC6382"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вместе с</w:t>
      </w:r>
      <w:r w:rsidR="00EC6382"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инструкцией по примен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ению помещены в картонную пачку.</w:t>
      </w:r>
    </w:p>
    <w:p w14:paraId="4FF05EBF" w14:textId="77777777" w:rsidR="00EC6382" w:rsidRPr="00F26705" w:rsidRDefault="00EC6382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536FB21B" w14:textId="77777777" w:rsidR="00EC6382" w:rsidRPr="00450E10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Условия хранения</w:t>
      </w: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</w:p>
    <w:p w14:paraId="7F10A526" w14:textId="5D4A3237" w:rsidR="00EC6382" w:rsidRDefault="00165334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1"/>
          <w:szCs w:val="11"/>
          <w:lang w:val="uz-Cyrl-UZ" w:eastAsia="ru-RU"/>
        </w:rPr>
      </w:pPr>
      <w:r w:rsidRPr="00450E10">
        <w:rPr>
          <w:rFonts w:ascii="Arial" w:eastAsia="Times New Roman" w:hAnsi="Arial" w:cs="Arial"/>
          <w:sz w:val="11"/>
          <w:szCs w:val="11"/>
          <w:lang w:eastAsia="ru-RU"/>
        </w:rPr>
        <w:t xml:space="preserve">Хранить оригинальной упаковке, защищенном от света месте, </w:t>
      </w:r>
      <w:r w:rsidRPr="00450E10">
        <w:rPr>
          <w:rFonts w:ascii="Arial" w:eastAsia="Times New Roman" w:hAnsi="Arial" w:cs="Arial"/>
          <w:sz w:val="11"/>
          <w:szCs w:val="11"/>
          <w:lang w:val="uz-Cyrl-UZ" w:eastAsia="ru-RU"/>
        </w:rPr>
        <w:t>при температуре не выше 30°С.</w:t>
      </w:r>
    </w:p>
    <w:p w14:paraId="0275463F" w14:textId="5A3F832E" w:rsidR="009F4A15" w:rsidRPr="00542AF9" w:rsidRDefault="009F4A15" w:rsidP="00486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1"/>
          <w:szCs w:val="11"/>
          <w:lang w:eastAsia="ru-RU"/>
        </w:rPr>
      </w:pPr>
      <w:r>
        <w:rPr>
          <w:rFonts w:ascii="Arial" w:eastAsia="Times New Roman" w:hAnsi="Arial" w:cs="Arial"/>
          <w:sz w:val="11"/>
          <w:szCs w:val="11"/>
          <w:lang w:eastAsia="ru-RU"/>
        </w:rPr>
        <w:t>Следует хранить в недоступном для детей месте.</w:t>
      </w:r>
    </w:p>
    <w:p w14:paraId="3C9C9FDC" w14:textId="77777777" w:rsidR="00EC6382" w:rsidRPr="00F26705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5FAD9AE7" w14:textId="77777777" w:rsidR="00EC6382" w:rsidRPr="00450E10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Срок годности</w:t>
      </w:r>
    </w:p>
    <w:p w14:paraId="221C83E9" w14:textId="6FC56C27" w:rsidR="00EC6382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2 года.</w:t>
      </w:r>
    </w:p>
    <w:p w14:paraId="03D2FD26" w14:textId="78088F45" w:rsidR="00B82B36" w:rsidRPr="00B82B36" w:rsidRDefault="00B82B36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val="uz-Cyrl-UZ" w:eastAsia="ru-RU"/>
        </w:rPr>
      </w:pPr>
      <w:r>
        <w:rPr>
          <w:rFonts w:ascii="Arial" w:eastAsia="Times New Roman" w:hAnsi="Arial" w:cs="Arial"/>
          <w:color w:val="000000"/>
          <w:sz w:val="11"/>
          <w:szCs w:val="11"/>
          <w:lang w:val="uz-Cyrl-UZ" w:eastAsia="ru-RU"/>
        </w:rPr>
        <w:t>Не следует применять после истечения срока годности.</w:t>
      </w:r>
    </w:p>
    <w:p w14:paraId="3AFD3C04" w14:textId="77777777" w:rsidR="00EC6382" w:rsidRPr="00F26705" w:rsidRDefault="00EC6382" w:rsidP="0048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1FF42C0A" w14:textId="77777777" w:rsidR="00EC6382" w:rsidRPr="00450E10" w:rsidRDefault="00EC6382" w:rsidP="004868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/>
          <w:sz w:val="11"/>
          <w:szCs w:val="11"/>
          <w:lang w:eastAsia="ru-RU"/>
        </w:rPr>
        <w:t>Условия отпуска из аптек</w:t>
      </w:r>
    </w:p>
    <w:p w14:paraId="754A3327" w14:textId="7236DECD" w:rsidR="00EC6382" w:rsidRDefault="00EC6382" w:rsidP="004868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sz w:val="11"/>
          <w:szCs w:val="11"/>
          <w:lang w:eastAsia="ru-RU"/>
        </w:rPr>
        <w:t>По рецепту</w:t>
      </w:r>
    </w:p>
    <w:p w14:paraId="3E0E5CA7" w14:textId="77777777" w:rsidR="00F26705" w:rsidRPr="00F26705" w:rsidRDefault="00F26705" w:rsidP="004868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14:paraId="6B9AF218" w14:textId="193CF504" w:rsidR="00EC6382" w:rsidRPr="00F26705" w:rsidRDefault="00EC6382" w:rsidP="00F26705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11"/>
          <w:szCs w:val="11"/>
          <w:lang w:val="uz-Cyrl-UZ"/>
        </w:rPr>
      </w:pPr>
      <w:r w:rsidRPr="00F26705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Производитель</w:t>
      </w:r>
      <w:r w:rsidR="00F26705" w:rsidRPr="00F26705">
        <w:rPr>
          <w:rFonts w:ascii="Arial" w:eastAsia="Times New Roman" w:hAnsi="Arial" w:cs="Arial"/>
          <w:b/>
          <w:color w:val="000000"/>
          <w:sz w:val="11"/>
          <w:szCs w:val="11"/>
          <w:lang w:val="uz-Cyrl-UZ" w:eastAsia="ru-RU"/>
        </w:rPr>
        <w:t>:/</w:t>
      </w:r>
      <w:r w:rsidR="00F26705" w:rsidRPr="00F26705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 xml:space="preserve">Наименование и адрес организации, </w:t>
      </w:r>
      <w:proofErr w:type="spellStart"/>
      <w:proofErr w:type="gramStart"/>
      <w:r w:rsidR="00F26705" w:rsidRPr="00F26705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>прини</w:t>
      </w:r>
      <w:proofErr w:type="spellEnd"/>
      <w:r w:rsidR="00F26705">
        <w:rPr>
          <w:rFonts w:ascii="Arial" w:eastAsia="Times New Roman" w:hAnsi="Arial" w:cs="Arial"/>
          <w:b/>
          <w:color w:val="000000"/>
          <w:sz w:val="11"/>
          <w:szCs w:val="11"/>
          <w:lang w:val="uz-Cyrl-UZ" w:eastAsia="ru-RU"/>
        </w:rPr>
        <w:t>-</w:t>
      </w:r>
      <w:r w:rsidR="00F26705" w:rsidRPr="00F26705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>мающей</w:t>
      </w:r>
      <w:proofErr w:type="gramEnd"/>
      <w:r w:rsidR="00F26705" w:rsidRPr="00F26705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 xml:space="preserve"> претензии (предложения) по качеству лекарственных средств на территории Республики Узбекистан</w:t>
      </w:r>
    </w:p>
    <w:p w14:paraId="3246767C" w14:textId="77777777" w:rsidR="00EC6382" w:rsidRPr="00450E10" w:rsidRDefault="00EC6382" w:rsidP="0048682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СП ООО «UZGERMED PHARM»,</w:t>
      </w:r>
    </w:p>
    <w:p w14:paraId="543C3EF3" w14:textId="77777777" w:rsidR="00EC6382" w:rsidRPr="00450E10" w:rsidRDefault="00EC6382" w:rsidP="0048682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Республика Узбекистан, Ташкентская обл., Верхне-</w:t>
      </w:r>
      <w:proofErr w:type="spellStart"/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Чирчикский</w:t>
      </w:r>
      <w:proofErr w:type="spellEnd"/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 xml:space="preserve"> район, поселок </w:t>
      </w:r>
      <w:proofErr w:type="spellStart"/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Барданкул</w:t>
      </w:r>
      <w:proofErr w:type="spellEnd"/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. Тел.: (8370)202-60-06, факс: (8370)983-62-62</w:t>
      </w:r>
    </w:p>
    <w:p w14:paraId="2647CA31" w14:textId="77777777" w:rsidR="00EC6382" w:rsidRPr="00450E10" w:rsidRDefault="00EC6382" w:rsidP="0048682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</w:pPr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lastRenderedPageBreak/>
        <w:t xml:space="preserve">Электронная почта: </w:t>
      </w:r>
      <w:hyperlink r:id="rId5" w:history="1">
        <w:r w:rsidRPr="00450E10">
          <w:rPr>
            <w:rFonts w:ascii="Arial" w:eastAsia="Times New Roman" w:hAnsi="Arial" w:cs="Arial"/>
            <w:bCs/>
            <w:color w:val="000000"/>
            <w:sz w:val="11"/>
            <w:szCs w:val="11"/>
            <w:lang w:eastAsia="ru-RU"/>
          </w:rPr>
          <w:t>info@ugp.uz</w:t>
        </w:r>
      </w:hyperlink>
      <w:r w:rsidRPr="00450E10">
        <w:rPr>
          <w:rFonts w:ascii="Arial" w:eastAsia="Times New Roman" w:hAnsi="Arial" w:cs="Arial"/>
          <w:bCs/>
          <w:color w:val="000000"/>
          <w:sz w:val="11"/>
          <w:szCs w:val="11"/>
          <w:lang w:eastAsia="ru-RU"/>
        </w:rPr>
        <w:t>, веб-сайт: www.ugp.uz.</w:t>
      </w:r>
    </w:p>
    <w:p w14:paraId="2B249271" w14:textId="77777777" w:rsidR="00965AC0" w:rsidRPr="00450E10" w:rsidRDefault="00965AC0" w:rsidP="0048682D">
      <w:pPr>
        <w:spacing w:after="0"/>
        <w:rPr>
          <w:rFonts w:ascii="Arial" w:hAnsi="Arial" w:cs="Arial"/>
          <w:sz w:val="11"/>
          <w:szCs w:val="11"/>
        </w:rPr>
      </w:pPr>
    </w:p>
    <w:sectPr w:rsidR="00965AC0" w:rsidRPr="00450E10" w:rsidSect="00450E10">
      <w:pgSz w:w="8505" w:h="7938" w:code="9"/>
      <w:pgMar w:top="340" w:right="340" w:bottom="340" w:left="340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4B3"/>
    <w:multiLevelType w:val="multilevel"/>
    <w:tmpl w:val="433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71867"/>
    <w:multiLevelType w:val="multilevel"/>
    <w:tmpl w:val="9BC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73D23"/>
    <w:multiLevelType w:val="hybridMultilevel"/>
    <w:tmpl w:val="5686C078"/>
    <w:lvl w:ilvl="0" w:tplc="D398F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4534"/>
    <w:multiLevelType w:val="hybridMultilevel"/>
    <w:tmpl w:val="1F0A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397"/>
    <w:multiLevelType w:val="hybridMultilevel"/>
    <w:tmpl w:val="C7FE1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DC"/>
    <w:rsid w:val="00165334"/>
    <w:rsid w:val="002C6AD2"/>
    <w:rsid w:val="00386AC7"/>
    <w:rsid w:val="00411A0E"/>
    <w:rsid w:val="00450E10"/>
    <w:rsid w:val="0048682D"/>
    <w:rsid w:val="00542AF9"/>
    <w:rsid w:val="005D670E"/>
    <w:rsid w:val="00965AC0"/>
    <w:rsid w:val="009F4A15"/>
    <w:rsid w:val="00B82B36"/>
    <w:rsid w:val="00EC6382"/>
    <w:rsid w:val="00F26705"/>
    <w:rsid w:val="00FC538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EE64"/>
  <w15:chartTrackingRefBased/>
  <w15:docId w15:val="{B46FB8CF-F071-4F84-B457-14FB73D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p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2022-07-05T07:30:00Z</dcterms:created>
  <dcterms:modified xsi:type="dcterms:W3CDTF">2022-09-21T07:08:00Z</dcterms:modified>
</cp:coreProperties>
</file>